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87" w:rsidRDefault="00645987" w:rsidP="00645987">
      <w:pPr>
        <w:rPr>
          <w:rFonts w:ascii="Arial Narrow" w:hAnsi="Arial Narrow"/>
          <w:b/>
          <w:sz w:val="24"/>
          <w:szCs w:val="24"/>
          <w:u w:val="single"/>
        </w:rPr>
      </w:pPr>
      <w:r>
        <w:rPr>
          <w:noProof/>
        </w:rPr>
        <w:drawing>
          <wp:inline distT="0" distB="0" distL="0" distR="0" wp14:anchorId="689BAAFC" wp14:editId="36FB7BA2">
            <wp:extent cx="4762500" cy="762000"/>
            <wp:effectExtent l="0" t="0" r="0" b="0"/>
            <wp:docPr id="1" name="Picture 1" descr="Federal Mediation and Concili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l Mediation and Conciliation Serv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762000"/>
                    </a:xfrm>
                    <a:prstGeom prst="rect">
                      <a:avLst/>
                    </a:prstGeom>
                    <a:noFill/>
                    <a:ln>
                      <a:noFill/>
                    </a:ln>
                  </pic:spPr>
                </pic:pic>
              </a:graphicData>
            </a:graphic>
          </wp:inline>
        </w:drawing>
      </w:r>
    </w:p>
    <w:p w:rsidR="00645987" w:rsidRPr="0084544F" w:rsidRDefault="0084544F" w:rsidP="0084544F">
      <w:pPr>
        <w:rPr>
          <w:rFonts w:ascii="Arial Narrow" w:hAnsi="Arial Narrow"/>
          <w:b/>
          <w:sz w:val="24"/>
          <w:szCs w:val="24"/>
        </w:rPr>
      </w:pPr>
      <w:r>
        <w:rPr>
          <w:rFonts w:ascii="Arial Narrow" w:hAnsi="Arial Narrow"/>
          <w:b/>
          <w:sz w:val="24"/>
          <w:szCs w:val="24"/>
        </w:rPr>
        <w:t>_____________________________________________________________________________________</w:t>
      </w:r>
    </w:p>
    <w:p w:rsidR="00B045ED" w:rsidRDefault="00B045ED" w:rsidP="00B045ED">
      <w:pPr>
        <w:pStyle w:val="NoSpacing"/>
        <w:jc w:val="center"/>
        <w:rPr>
          <w:rFonts w:ascii="Arial Narrow" w:hAnsi="Arial Narrow"/>
          <w:b/>
          <w:sz w:val="24"/>
          <w:szCs w:val="24"/>
        </w:rPr>
      </w:pPr>
    </w:p>
    <w:p w:rsidR="00645987" w:rsidRPr="00B045ED" w:rsidRDefault="00B045ED" w:rsidP="00B045ED">
      <w:pPr>
        <w:pStyle w:val="NoSpacing"/>
        <w:jc w:val="center"/>
        <w:rPr>
          <w:rFonts w:ascii="Arial Narrow" w:hAnsi="Arial Narrow"/>
          <w:b/>
          <w:sz w:val="24"/>
          <w:szCs w:val="24"/>
        </w:rPr>
      </w:pPr>
      <w:r w:rsidRPr="00B045ED">
        <w:rPr>
          <w:rFonts w:ascii="Arial Narrow" w:hAnsi="Arial Narrow"/>
          <w:b/>
          <w:sz w:val="24"/>
          <w:szCs w:val="24"/>
        </w:rPr>
        <w:t>Federal Mediation and Conciliation Service</w:t>
      </w:r>
    </w:p>
    <w:p w:rsidR="00A74B56" w:rsidRPr="00B045ED" w:rsidRDefault="00A74B56" w:rsidP="00B045ED">
      <w:pPr>
        <w:pStyle w:val="NoSpacing"/>
        <w:jc w:val="center"/>
        <w:rPr>
          <w:rFonts w:ascii="Arial Narrow" w:hAnsi="Arial Narrow"/>
          <w:b/>
          <w:sz w:val="24"/>
          <w:szCs w:val="24"/>
        </w:rPr>
      </w:pPr>
      <w:r w:rsidRPr="00B045ED">
        <w:rPr>
          <w:rFonts w:ascii="Arial Narrow" w:hAnsi="Arial Narrow"/>
          <w:b/>
          <w:sz w:val="24"/>
          <w:szCs w:val="24"/>
        </w:rPr>
        <w:t>FY2016 Service Contract Inventory Planned Analysis</w:t>
      </w:r>
    </w:p>
    <w:p w:rsidR="00A74B56" w:rsidRPr="00A74B56" w:rsidRDefault="00A74B56">
      <w:pPr>
        <w:rPr>
          <w:rFonts w:ascii="Verdana" w:hAnsi="Verdana"/>
        </w:rPr>
      </w:pPr>
    </w:p>
    <w:p w:rsidR="00A74B56" w:rsidRPr="00360309" w:rsidRDefault="00360309" w:rsidP="00360309">
      <w:pPr>
        <w:pStyle w:val="NoSpacing"/>
        <w:numPr>
          <w:ilvl w:val="0"/>
          <w:numId w:val="9"/>
        </w:numPr>
        <w:jc w:val="both"/>
        <w:rPr>
          <w:rFonts w:ascii="Arial Narrow" w:hAnsi="Arial Narrow"/>
          <w:b/>
          <w:sz w:val="24"/>
          <w:szCs w:val="24"/>
        </w:rPr>
      </w:pPr>
      <w:r w:rsidRPr="00360309">
        <w:rPr>
          <w:rFonts w:ascii="Arial Narrow" w:hAnsi="Arial Narrow"/>
          <w:b/>
          <w:sz w:val="24"/>
          <w:szCs w:val="24"/>
        </w:rPr>
        <w:t>Background</w:t>
      </w:r>
    </w:p>
    <w:p w:rsidR="00360309" w:rsidRPr="00ED12EB" w:rsidRDefault="00360309" w:rsidP="00360309">
      <w:pPr>
        <w:pStyle w:val="NoSpacing"/>
        <w:jc w:val="both"/>
        <w:rPr>
          <w:rFonts w:ascii="Arial Narrow" w:hAnsi="Arial Narrow"/>
          <w:sz w:val="24"/>
          <w:szCs w:val="24"/>
        </w:rPr>
      </w:pPr>
    </w:p>
    <w:p w:rsidR="00645987" w:rsidRDefault="00A74B56" w:rsidP="00360309">
      <w:pPr>
        <w:pStyle w:val="NoSpacing"/>
        <w:ind w:left="360"/>
        <w:jc w:val="both"/>
        <w:rPr>
          <w:rFonts w:ascii="Arial Narrow" w:hAnsi="Arial Narrow"/>
          <w:sz w:val="24"/>
          <w:szCs w:val="24"/>
        </w:rPr>
      </w:pPr>
      <w:r w:rsidRPr="00ED12EB">
        <w:rPr>
          <w:rFonts w:ascii="Arial Narrow" w:hAnsi="Arial Narrow"/>
          <w:sz w:val="24"/>
          <w:szCs w:val="24"/>
        </w:rPr>
        <w:t xml:space="preserve">The Service Contract Inventory is a tool designed to help agencies develop a better understanding of how contracted services are being used to support mission and operations, and to determine whether contractor skills are being utilized in an appropriate manner. Section 743 of Division C of the Fiscal Year (FY) 2010 Consolidated Appropriations Act, Public Law (P.L.) 111-117, requires civilian agencies to prepare an annual inventory of their service contracts. It also requires that civilian agencies analyze their inventory to determine if the mix of Federal employees and contractors is effective or requires rebalancing. </w:t>
      </w:r>
    </w:p>
    <w:p w:rsidR="00645987" w:rsidRDefault="00645987" w:rsidP="00360309">
      <w:pPr>
        <w:pStyle w:val="NoSpacing"/>
        <w:ind w:left="360"/>
        <w:jc w:val="both"/>
        <w:rPr>
          <w:rFonts w:ascii="Arial Narrow" w:hAnsi="Arial Narrow"/>
          <w:sz w:val="24"/>
          <w:szCs w:val="24"/>
        </w:rPr>
      </w:pPr>
    </w:p>
    <w:p w:rsidR="00A74B56" w:rsidRPr="00ED12EB" w:rsidRDefault="00A74B56" w:rsidP="00360309">
      <w:pPr>
        <w:pStyle w:val="NoSpacing"/>
        <w:ind w:left="360"/>
        <w:jc w:val="both"/>
        <w:rPr>
          <w:rFonts w:ascii="Arial Narrow" w:hAnsi="Arial Narrow"/>
          <w:sz w:val="24"/>
          <w:szCs w:val="24"/>
        </w:rPr>
      </w:pPr>
      <w:r w:rsidRPr="00ED12EB">
        <w:rPr>
          <w:rFonts w:ascii="Arial Narrow" w:hAnsi="Arial Narrow"/>
          <w:sz w:val="24"/>
          <w:szCs w:val="24"/>
        </w:rPr>
        <w:t>Prior to issuing their inventories, civilian agencies are required to submit a planned analysis to the Office of Management and Budget’s (OMB) Office of Federal Procurement Policy (OFPP). This document, created by the Office of Procurement and Operational Support, fulfills that requirement for the Federal Mediation and Conciliation Service</w:t>
      </w:r>
      <w:r w:rsidR="00ED12EB" w:rsidRPr="00ED12EB">
        <w:rPr>
          <w:rFonts w:ascii="Arial Narrow" w:hAnsi="Arial Narrow"/>
          <w:sz w:val="24"/>
          <w:szCs w:val="24"/>
        </w:rPr>
        <w:t xml:space="preserve"> (FMCS)</w:t>
      </w:r>
      <w:r w:rsidRPr="00ED12EB">
        <w:rPr>
          <w:rFonts w:ascii="Arial Narrow" w:hAnsi="Arial Narrow"/>
          <w:sz w:val="24"/>
          <w:szCs w:val="24"/>
        </w:rPr>
        <w:t xml:space="preserve">. </w:t>
      </w:r>
    </w:p>
    <w:p w:rsidR="00A74B56" w:rsidRPr="00ED12EB" w:rsidRDefault="00A74B56" w:rsidP="00ED12EB">
      <w:pPr>
        <w:pStyle w:val="NoSpacing"/>
        <w:jc w:val="both"/>
        <w:rPr>
          <w:rFonts w:ascii="Arial Narrow" w:hAnsi="Arial Narrow"/>
          <w:sz w:val="24"/>
          <w:szCs w:val="24"/>
        </w:rPr>
      </w:pPr>
    </w:p>
    <w:p w:rsidR="00A74B56" w:rsidRPr="00360309" w:rsidRDefault="00A74B56" w:rsidP="00360309">
      <w:pPr>
        <w:pStyle w:val="NoSpacing"/>
        <w:numPr>
          <w:ilvl w:val="0"/>
          <w:numId w:val="9"/>
        </w:numPr>
        <w:jc w:val="both"/>
        <w:rPr>
          <w:rFonts w:ascii="Arial Narrow" w:hAnsi="Arial Narrow"/>
          <w:b/>
          <w:sz w:val="24"/>
          <w:szCs w:val="24"/>
        </w:rPr>
      </w:pPr>
      <w:r w:rsidRPr="00360309">
        <w:rPr>
          <w:rFonts w:ascii="Arial Narrow" w:hAnsi="Arial Narrow"/>
          <w:b/>
          <w:sz w:val="24"/>
          <w:szCs w:val="24"/>
        </w:rPr>
        <w:t>FY2016 Product and Service Codes (PSC) Selected for Review</w:t>
      </w:r>
    </w:p>
    <w:p w:rsidR="00360309" w:rsidRPr="00ED12EB" w:rsidRDefault="00360309" w:rsidP="00ED12EB">
      <w:pPr>
        <w:pStyle w:val="NoSpacing"/>
        <w:jc w:val="both"/>
        <w:rPr>
          <w:rFonts w:ascii="Arial Narrow" w:hAnsi="Arial Narrow"/>
          <w:sz w:val="24"/>
          <w:szCs w:val="24"/>
        </w:rPr>
      </w:pPr>
    </w:p>
    <w:p w:rsidR="00A74B56" w:rsidRDefault="00ED12EB" w:rsidP="00360309">
      <w:pPr>
        <w:pStyle w:val="NoSpacing"/>
        <w:ind w:left="360"/>
        <w:jc w:val="both"/>
        <w:rPr>
          <w:rFonts w:ascii="Arial Narrow" w:hAnsi="Arial Narrow"/>
          <w:sz w:val="24"/>
          <w:szCs w:val="24"/>
        </w:rPr>
      </w:pPr>
      <w:r w:rsidRPr="00ED12EB">
        <w:rPr>
          <w:rFonts w:ascii="Arial Narrow" w:hAnsi="Arial Narrow"/>
          <w:sz w:val="24"/>
          <w:szCs w:val="24"/>
        </w:rPr>
        <w:t>In accordance with OMB guidelines and recommendations, this planned analysis is designed to inform OFPP of the PSC that the FMCS will analyze from the FY 2015 inventory. Table 1 on page</w:t>
      </w:r>
      <w:r w:rsidR="00DA38A4">
        <w:rPr>
          <w:rFonts w:ascii="Arial Narrow" w:hAnsi="Arial Narrow"/>
          <w:sz w:val="24"/>
          <w:szCs w:val="24"/>
        </w:rPr>
        <w:t xml:space="preserve"> two</w:t>
      </w:r>
      <w:r w:rsidRPr="00ED12EB">
        <w:rPr>
          <w:rFonts w:ascii="Arial Narrow" w:hAnsi="Arial Narrow"/>
          <w:sz w:val="24"/>
          <w:szCs w:val="24"/>
        </w:rPr>
        <w:t xml:space="preserve"> will numerically display the </w:t>
      </w:r>
      <w:r w:rsidR="00021722">
        <w:rPr>
          <w:rFonts w:ascii="Arial Narrow" w:hAnsi="Arial Narrow"/>
          <w:sz w:val="24"/>
          <w:szCs w:val="24"/>
        </w:rPr>
        <w:t>c</w:t>
      </w:r>
      <w:r w:rsidRPr="00ED12EB">
        <w:rPr>
          <w:rFonts w:ascii="Arial Narrow" w:hAnsi="Arial Narrow"/>
          <w:sz w:val="24"/>
          <w:szCs w:val="24"/>
        </w:rPr>
        <w:t>odes that will be analyzed.</w:t>
      </w:r>
    </w:p>
    <w:p w:rsidR="00360309" w:rsidRPr="00ED12EB" w:rsidRDefault="00360309" w:rsidP="00ED12EB">
      <w:pPr>
        <w:pStyle w:val="NoSpacing"/>
        <w:jc w:val="both"/>
        <w:rPr>
          <w:rFonts w:ascii="Arial Narrow" w:hAnsi="Arial Narrow"/>
          <w:sz w:val="24"/>
          <w:szCs w:val="24"/>
        </w:rPr>
      </w:pPr>
    </w:p>
    <w:p w:rsidR="00ED12EB" w:rsidRPr="00360309" w:rsidRDefault="00ED12EB" w:rsidP="00360309">
      <w:pPr>
        <w:pStyle w:val="NoSpacing"/>
        <w:numPr>
          <w:ilvl w:val="0"/>
          <w:numId w:val="9"/>
        </w:numPr>
        <w:jc w:val="both"/>
        <w:rPr>
          <w:rFonts w:ascii="Arial Narrow" w:hAnsi="Arial Narrow"/>
          <w:b/>
          <w:sz w:val="24"/>
          <w:szCs w:val="24"/>
        </w:rPr>
      </w:pPr>
      <w:r w:rsidRPr="00360309">
        <w:rPr>
          <w:rFonts w:ascii="Arial Narrow" w:hAnsi="Arial Narrow"/>
          <w:b/>
          <w:sz w:val="24"/>
          <w:szCs w:val="24"/>
        </w:rPr>
        <w:t>Rational</w:t>
      </w:r>
      <w:r w:rsidR="00963A8B">
        <w:rPr>
          <w:rFonts w:ascii="Arial Narrow" w:hAnsi="Arial Narrow"/>
          <w:b/>
          <w:sz w:val="24"/>
          <w:szCs w:val="24"/>
        </w:rPr>
        <w:t>e</w:t>
      </w:r>
      <w:r w:rsidRPr="00360309">
        <w:rPr>
          <w:rFonts w:ascii="Arial Narrow" w:hAnsi="Arial Narrow"/>
          <w:b/>
          <w:sz w:val="24"/>
          <w:szCs w:val="24"/>
        </w:rPr>
        <w:t xml:space="preserve"> for Selection</w:t>
      </w:r>
    </w:p>
    <w:p w:rsidR="00360309" w:rsidRPr="00ED12EB" w:rsidRDefault="00360309" w:rsidP="00ED12EB">
      <w:pPr>
        <w:pStyle w:val="NoSpacing"/>
        <w:jc w:val="both"/>
        <w:rPr>
          <w:rFonts w:ascii="Arial Narrow" w:hAnsi="Arial Narrow"/>
          <w:sz w:val="24"/>
          <w:szCs w:val="24"/>
        </w:rPr>
      </w:pPr>
    </w:p>
    <w:p w:rsidR="00ED12EB" w:rsidRDefault="00ED12EB" w:rsidP="00360309">
      <w:pPr>
        <w:pStyle w:val="NoSpacing"/>
        <w:ind w:left="360"/>
        <w:jc w:val="both"/>
        <w:rPr>
          <w:rFonts w:ascii="Arial Narrow" w:hAnsi="Arial Narrow"/>
          <w:sz w:val="24"/>
          <w:szCs w:val="24"/>
        </w:rPr>
      </w:pPr>
      <w:r w:rsidRPr="00ED12EB">
        <w:rPr>
          <w:rFonts w:ascii="Arial Narrow" w:hAnsi="Arial Narrow"/>
          <w:sz w:val="24"/>
          <w:szCs w:val="24"/>
        </w:rPr>
        <w:t>For its FY2016 review, FMCS will identify PSC that were not the primary focus of the previous year</w:t>
      </w:r>
      <w:r w:rsidR="00360309">
        <w:rPr>
          <w:rFonts w:ascii="Arial Narrow" w:hAnsi="Arial Narrow"/>
          <w:sz w:val="24"/>
          <w:szCs w:val="24"/>
        </w:rPr>
        <w:t>’s</w:t>
      </w:r>
      <w:r w:rsidRPr="00ED12EB">
        <w:rPr>
          <w:rFonts w:ascii="Arial Narrow" w:hAnsi="Arial Narrow"/>
          <w:sz w:val="24"/>
          <w:szCs w:val="24"/>
        </w:rPr>
        <w:t xml:space="preserve"> analysis.  Instead, FMCS will focus on the largest obligations of FY2016:  </w:t>
      </w:r>
      <w:r w:rsidR="00645987">
        <w:rPr>
          <w:rFonts w:ascii="Arial Narrow" w:hAnsi="Arial Narrow"/>
          <w:sz w:val="24"/>
          <w:szCs w:val="24"/>
        </w:rPr>
        <w:t xml:space="preserve">The </w:t>
      </w:r>
      <w:r w:rsidR="00021722">
        <w:rPr>
          <w:rFonts w:ascii="Arial Narrow" w:hAnsi="Arial Narrow"/>
          <w:sz w:val="24"/>
          <w:szCs w:val="24"/>
        </w:rPr>
        <w:t>r</w:t>
      </w:r>
      <w:r w:rsidRPr="00ED12EB">
        <w:rPr>
          <w:rFonts w:ascii="Arial Narrow" w:hAnsi="Arial Narrow"/>
          <w:sz w:val="24"/>
          <w:szCs w:val="24"/>
        </w:rPr>
        <w:t xml:space="preserve">elocation of the National Office in Washington, DC.  </w:t>
      </w:r>
      <w:r w:rsidR="00360309">
        <w:rPr>
          <w:rFonts w:ascii="Arial Narrow" w:hAnsi="Arial Narrow"/>
          <w:sz w:val="24"/>
          <w:szCs w:val="24"/>
        </w:rPr>
        <w:t>The agency relocated from the NW quadrant of the city, to the SW quadrant of Washington, DC.  Contractors were used during this transition period and were overseen by staff to ensure that sufficient oversight of contractors was in place.</w:t>
      </w:r>
    </w:p>
    <w:p w:rsidR="00645987" w:rsidRDefault="00645987" w:rsidP="00360309">
      <w:pPr>
        <w:pStyle w:val="NoSpacing"/>
        <w:ind w:left="360"/>
        <w:jc w:val="both"/>
        <w:rPr>
          <w:rFonts w:ascii="Arial Narrow" w:hAnsi="Arial Narrow"/>
          <w:sz w:val="24"/>
          <w:szCs w:val="24"/>
        </w:rPr>
      </w:pPr>
    </w:p>
    <w:p w:rsidR="00645987" w:rsidRDefault="00645987" w:rsidP="00360309">
      <w:pPr>
        <w:pStyle w:val="NoSpacing"/>
        <w:ind w:left="360"/>
        <w:jc w:val="both"/>
        <w:rPr>
          <w:rFonts w:ascii="Arial Narrow" w:hAnsi="Arial Narrow"/>
          <w:sz w:val="24"/>
          <w:szCs w:val="24"/>
        </w:rPr>
      </w:pPr>
    </w:p>
    <w:p w:rsidR="00B045ED" w:rsidRDefault="00B045ED" w:rsidP="00360309">
      <w:pPr>
        <w:pStyle w:val="NoSpacing"/>
        <w:ind w:left="360"/>
        <w:jc w:val="both"/>
        <w:rPr>
          <w:rFonts w:ascii="Arial Narrow" w:hAnsi="Arial Narrow"/>
          <w:sz w:val="24"/>
          <w:szCs w:val="24"/>
        </w:rPr>
      </w:pPr>
    </w:p>
    <w:p w:rsidR="00B045ED" w:rsidRDefault="00B045ED" w:rsidP="00360309">
      <w:pPr>
        <w:pStyle w:val="NoSpacing"/>
        <w:ind w:left="360"/>
        <w:jc w:val="both"/>
        <w:rPr>
          <w:rFonts w:ascii="Arial Narrow" w:hAnsi="Arial Narrow"/>
          <w:sz w:val="24"/>
          <w:szCs w:val="24"/>
        </w:rPr>
      </w:pPr>
    </w:p>
    <w:p w:rsidR="00645987" w:rsidRDefault="00645987" w:rsidP="00360309">
      <w:pPr>
        <w:pStyle w:val="NoSpacing"/>
        <w:ind w:left="360"/>
        <w:jc w:val="both"/>
        <w:rPr>
          <w:rFonts w:ascii="Arial Narrow" w:hAnsi="Arial Narrow"/>
          <w:sz w:val="24"/>
          <w:szCs w:val="24"/>
        </w:rPr>
      </w:pPr>
    </w:p>
    <w:p w:rsidR="00645987" w:rsidRDefault="00645987" w:rsidP="00360309">
      <w:pPr>
        <w:pStyle w:val="NoSpacing"/>
        <w:ind w:left="360"/>
        <w:jc w:val="both"/>
        <w:rPr>
          <w:rFonts w:ascii="Arial Narrow" w:hAnsi="Arial Narrow"/>
          <w:sz w:val="24"/>
          <w:szCs w:val="24"/>
        </w:rPr>
      </w:pPr>
    </w:p>
    <w:p w:rsidR="00645987" w:rsidRDefault="00645987" w:rsidP="00360309">
      <w:pPr>
        <w:pStyle w:val="NoSpacing"/>
        <w:ind w:left="360"/>
        <w:jc w:val="both"/>
        <w:rPr>
          <w:rFonts w:ascii="Arial Narrow" w:hAnsi="Arial Narrow"/>
          <w:sz w:val="24"/>
          <w:szCs w:val="24"/>
        </w:rPr>
      </w:pPr>
    </w:p>
    <w:p w:rsidR="00645987" w:rsidRDefault="00645987" w:rsidP="00360309">
      <w:pPr>
        <w:pStyle w:val="NoSpacing"/>
        <w:ind w:left="360"/>
        <w:jc w:val="both"/>
        <w:rPr>
          <w:rFonts w:ascii="Arial Narrow" w:hAnsi="Arial Narrow"/>
          <w:sz w:val="24"/>
          <w:szCs w:val="24"/>
        </w:rPr>
      </w:pPr>
    </w:p>
    <w:p w:rsidR="00DA38A4" w:rsidRDefault="00DA38A4" w:rsidP="00360309">
      <w:pPr>
        <w:pStyle w:val="NoSpacing"/>
        <w:ind w:left="360"/>
        <w:jc w:val="both"/>
        <w:rPr>
          <w:rFonts w:ascii="Arial Narrow" w:hAnsi="Arial Narrow"/>
          <w:sz w:val="24"/>
          <w:szCs w:val="24"/>
        </w:rPr>
      </w:pPr>
      <w:r>
        <w:rPr>
          <w:rFonts w:ascii="Arial Narrow" w:hAnsi="Arial Narrow"/>
          <w:sz w:val="24"/>
          <w:szCs w:val="24"/>
        </w:rPr>
        <w:t xml:space="preserve">Table 1 </w:t>
      </w:r>
    </w:p>
    <w:tbl>
      <w:tblPr>
        <w:tblStyle w:val="TableGrid"/>
        <w:tblW w:w="0" w:type="auto"/>
        <w:tblInd w:w="360" w:type="dxa"/>
        <w:tblLook w:val="04A0" w:firstRow="1" w:lastRow="0" w:firstColumn="1" w:lastColumn="0" w:noHBand="0" w:noVBand="1"/>
      </w:tblPr>
      <w:tblGrid>
        <w:gridCol w:w="1270"/>
        <w:gridCol w:w="5540"/>
        <w:gridCol w:w="2406"/>
      </w:tblGrid>
      <w:tr w:rsidR="00645987" w:rsidTr="00645987">
        <w:trPr>
          <w:trHeight w:val="350"/>
        </w:trPr>
        <w:tc>
          <w:tcPr>
            <w:tcW w:w="9216" w:type="dxa"/>
            <w:gridSpan w:val="3"/>
          </w:tcPr>
          <w:p w:rsidR="00645987" w:rsidRPr="00EF69DA" w:rsidRDefault="00645987" w:rsidP="00360309">
            <w:pPr>
              <w:pStyle w:val="NoSpacing"/>
              <w:jc w:val="both"/>
              <w:rPr>
                <w:rFonts w:ascii="Arial Narrow" w:hAnsi="Arial Narrow"/>
                <w:b/>
                <w:sz w:val="24"/>
                <w:szCs w:val="24"/>
              </w:rPr>
            </w:pPr>
            <w:r w:rsidRPr="00EF69DA">
              <w:rPr>
                <w:rFonts w:ascii="Arial Narrow" w:hAnsi="Arial Narrow"/>
                <w:b/>
                <w:sz w:val="24"/>
                <w:szCs w:val="24"/>
              </w:rPr>
              <w:t xml:space="preserve">                                </w:t>
            </w:r>
            <w:r w:rsidR="00EF69DA">
              <w:rPr>
                <w:rFonts w:ascii="Arial Narrow" w:hAnsi="Arial Narrow"/>
                <w:b/>
                <w:sz w:val="24"/>
                <w:szCs w:val="24"/>
              </w:rPr>
              <w:t xml:space="preserve">  </w:t>
            </w:r>
            <w:r w:rsidRPr="00EF69DA">
              <w:rPr>
                <w:rFonts w:ascii="Arial Narrow" w:hAnsi="Arial Narrow"/>
                <w:b/>
                <w:sz w:val="24"/>
                <w:szCs w:val="24"/>
              </w:rPr>
              <w:t xml:space="preserve"> FY2016 Product and Service Codes for Review</w:t>
            </w:r>
          </w:p>
        </w:tc>
      </w:tr>
      <w:tr w:rsidR="00645987" w:rsidTr="00EF69DA">
        <w:trPr>
          <w:trHeight w:val="350"/>
        </w:trPr>
        <w:tc>
          <w:tcPr>
            <w:tcW w:w="1270" w:type="dxa"/>
          </w:tcPr>
          <w:p w:rsidR="00645987" w:rsidRPr="00EF69DA" w:rsidRDefault="00645987" w:rsidP="00EF69DA">
            <w:pPr>
              <w:pStyle w:val="NoSpacing"/>
              <w:jc w:val="both"/>
              <w:rPr>
                <w:rFonts w:ascii="Arial Narrow" w:hAnsi="Arial Narrow"/>
                <w:b/>
                <w:sz w:val="24"/>
                <w:szCs w:val="24"/>
              </w:rPr>
            </w:pPr>
            <w:r w:rsidRPr="00EF69DA">
              <w:rPr>
                <w:rFonts w:ascii="Arial Narrow" w:hAnsi="Arial Narrow"/>
                <w:b/>
                <w:sz w:val="24"/>
                <w:szCs w:val="24"/>
              </w:rPr>
              <w:t>PSC</w:t>
            </w:r>
          </w:p>
        </w:tc>
        <w:tc>
          <w:tcPr>
            <w:tcW w:w="5540" w:type="dxa"/>
          </w:tcPr>
          <w:p w:rsidR="00645987" w:rsidRPr="00EF69DA" w:rsidRDefault="00EF69DA" w:rsidP="00EF69DA">
            <w:pPr>
              <w:pStyle w:val="NoSpacing"/>
              <w:jc w:val="both"/>
              <w:rPr>
                <w:rFonts w:ascii="Arial Narrow" w:hAnsi="Arial Narrow"/>
                <w:b/>
                <w:sz w:val="24"/>
                <w:szCs w:val="24"/>
              </w:rPr>
            </w:pPr>
            <w:r>
              <w:rPr>
                <w:rFonts w:ascii="Arial Narrow" w:hAnsi="Arial Narrow"/>
                <w:b/>
                <w:sz w:val="24"/>
                <w:szCs w:val="24"/>
              </w:rPr>
              <w:t xml:space="preserve">                                </w:t>
            </w:r>
            <w:r w:rsidR="00645987" w:rsidRPr="00EF69DA">
              <w:rPr>
                <w:rFonts w:ascii="Arial Narrow" w:hAnsi="Arial Narrow"/>
                <w:b/>
                <w:sz w:val="24"/>
                <w:szCs w:val="24"/>
              </w:rPr>
              <w:t>PSC Description</w:t>
            </w:r>
          </w:p>
        </w:tc>
        <w:tc>
          <w:tcPr>
            <w:tcW w:w="2406" w:type="dxa"/>
          </w:tcPr>
          <w:p w:rsidR="00645987" w:rsidRPr="00EF69DA" w:rsidRDefault="00645987" w:rsidP="00360309">
            <w:pPr>
              <w:pStyle w:val="NoSpacing"/>
              <w:jc w:val="both"/>
              <w:rPr>
                <w:rFonts w:ascii="Arial Narrow" w:hAnsi="Arial Narrow"/>
                <w:b/>
                <w:sz w:val="24"/>
                <w:szCs w:val="24"/>
              </w:rPr>
            </w:pPr>
            <w:r w:rsidRPr="00EF69DA">
              <w:rPr>
                <w:rFonts w:ascii="Arial Narrow" w:hAnsi="Arial Narrow"/>
                <w:b/>
                <w:sz w:val="24"/>
                <w:szCs w:val="24"/>
              </w:rPr>
              <w:t>Obligation Amount</w:t>
            </w:r>
          </w:p>
        </w:tc>
      </w:tr>
      <w:tr w:rsidR="00645987" w:rsidTr="00645987">
        <w:trPr>
          <w:trHeight w:val="314"/>
        </w:trPr>
        <w:tc>
          <w:tcPr>
            <w:tcW w:w="1270" w:type="dxa"/>
          </w:tcPr>
          <w:p w:rsidR="00645987" w:rsidRPr="00406632" w:rsidRDefault="00FD72E3" w:rsidP="00360309">
            <w:pPr>
              <w:pStyle w:val="NoSpacing"/>
              <w:jc w:val="both"/>
              <w:rPr>
                <w:rFonts w:ascii="Arial Narrow" w:hAnsi="Arial Narrow"/>
              </w:rPr>
            </w:pPr>
            <w:r w:rsidRPr="00406632">
              <w:rPr>
                <w:rFonts w:ascii="Arial Narrow" w:hAnsi="Arial Narrow"/>
              </w:rPr>
              <w:t>D313</w:t>
            </w:r>
          </w:p>
        </w:tc>
        <w:tc>
          <w:tcPr>
            <w:tcW w:w="5540" w:type="dxa"/>
          </w:tcPr>
          <w:p w:rsidR="00645987" w:rsidRPr="00406632" w:rsidRDefault="00FD72E3" w:rsidP="00FD72E3">
            <w:pPr>
              <w:rPr>
                <w:rFonts w:ascii="Arial Narrow" w:hAnsi="Arial Narrow"/>
              </w:rPr>
            </w:pPr>
            <w:r w:rsidRPr="00406632">
              <w:rPr>
                <w:rFonts w:ascii="Arial Narrow" w:hAnsi="Arial Narrow"/>
                <w:shd w:val="clear" w:color="auto" w:fill="FFFFFF"/>
              </w:rPr>
              <w:t>Computer Aided Design/Computer Aided Manufacturing Services</w:t>
            </w:r>
          </w:p>
        </w:tc>
        <w:tc>
          <w:tcPr>
            <w:tcW w:w="2406" w:type="dxa"/>
          </w:tcPr>
          <w:p w:rsidR="00FD72E3" w:rsidRPr="00FD72E3" w:rsidRDefault="00FD72E3" w:rsidP="00360309">
            <w:pPr>
              <w:pStyle w:val="NoSpacing"/>
              <w:jc w:val="both"/>
              <w:rPr>
                <w:rFonts w:ascii="Arial Narrow" w:hAnsi="Arial Narrow"/>
              </w:rPr>
            </w:pPr>
            <w:r w:rsidRPr="00FD72E3">
              <w:rPr>
                <w:rFonts w:ascii="Arial Narrow" w:hAnsi="Arial Narrow"/>
              </w:rPr>
              <w:t>$94,938</w:t>
            </w:r>
          </w:p>
        </w:tc>
      </w:tr>
      <w:tr w:rsidR="00645987" w:rsidTr="00645987">
        <w:tc>
          <w:tcPr>
            <w:tcW w:w="1270" w:type="dxa"/>
          </w:tcPr>
          <w:p w:rsidR="00645987" w:rsidRPr="00406632" w:rsidRDefault="00406632" w:rsidP="00360309">
            <w:pPr>
              <w:pStyle w:val="NoSpacing"/>
              <w:jc w:val="both"/>
              <w:rPr>
                <w:rFonts w:ascii="Arial Narrow" w:hAnsi="Arial Narrow"/>
              </w:rPr>
            </w:pPr>
            <w:r w:rsidRPr="00406632">
              <w:rPr>
                <w:rFonts w:ascii="Arial Narrow" w:hAnsi="Arial Narrow"/>
              </w:rPr>
              <w:t>H163</w:t>
            </w:r>
          </w:p>
        </w:tc>
        <w:tc>
          <w:tcPr>
            <w:tcW w:w="5540" w:type="dxa"/>
          </w:tcPr>
          <w:p w:rsidR="00645987" w:rsidRPr="00406632" w:rsidRDefault="00406632" w:rsidP="00360309">
            <w:pPr>
              <w:pStyle w:val="NoSpacing"/>
              <w:jc w:val="both"/>
              <w:rPr>
                <w:rFonts w:ascii="Arial Narrow" w:hAnsi="Arial Narrow"/>
              </w:rPr>
            </w:pPr>
            <w:r w:rsidRPr="00406632">
              <w:rPr>
                <w:rFonts w:ascii="Arial Narrow" w:hAnsi="Arial Narrow"/>
                <w:color w:val="000000"/>
              </w:rPr>
              <w:t>Quality Control Services/Alarm, Signal and Security Detection Systems</w:t>
            </w:r>
          </w:p>
        </w:tc>
        <w:tc>
          <w:tcPr>
            <w:tcW w:w="2406" w:type="dxa"/>
          </w:tcPr>
          <w:p w:rsidR="00645987" w:rsidRDefault="00406632" w:rsidP="00360309">
            <w:pPr>
              <w:pStyle w:val="NoSpacing"/>
              <w:jc w:val="both"/>
              <w:rPr>
                <w:rFonts w:ascii="Arial Narrow" w:hAnsi="Arial Narrow"/>
                <w:sz w:val="24"/>
                <w:szCs w:val="24"/>
              </w:rPr>
            </w:pPr>
            <w:r>
              <w:rPr>
                <w:rFonts w:ascii="Arial Narrow" w:hAnsi="Arial Narrow"/>
                <w:sz w:val="24"/>
                <w:szCs w:val="24"/>
              </w:rPr>
              <w:t>$283,406</w:t>
            </w:r>
          </w:p>
        </w:tc>
      </w:tr>
      <w:tr w:rsidR="00645987" w:rsidTr="00645987">
        <w:tc>
          <w:tcPr>
            <w:tcW w:w="1270" w:type="dxa"/>
          </w:tcPr>
          <w:p w:rsidR="00645987" w:rsidRPr="00406632" w:rsidRDefault="00406632" w:rsidP="00360309">
            <w:pPr>
              <w:pStyle w:val="NoSpacing"/>
              <w:jc w:val="both"/>
              <w:rPr>
                <w:rFonts w:ascii="Arial Narrow" w:hAnsi="Arial Narrow"/>
              </w:rPr>
            </w:pPr>
            <w:r w:rsidRPr="00406632">
              <w:rPr>
                <w:rFonts w:ascii="Arial Narrow" w:hAnsi="Arial Narrow"/>
              </w:rPr>
              <w:t>L071</w:t>
            </w:r>
          </w:p>
        </w:tc>
        <w:tc>
          <w:tcPr>
            <w:tcW w:w="5540" w:type="dxa"/>
          </w:tcPr>
          <w:p w:rsidR="00645987" w:rsidRPr="00406632" w:rsidRDefault="00406632" w:rsidP="00360309">
            <w:pPr>
              <w:pStyle w:val="NoSpacing"/>
              <w:jc w:val="both"/>
              <w:rPr>
                <w:rFonts w:ascii="Arial Narrow" w:hAnsi="Arial Narrow"/>
              </w:rPr>
            </w:pPr>
            <w:r w:rsidRPr="00406632">
              <w:rPr>
                <w:rFonts w:ascii="Arial Narrow" w:hAnsi="Arial Narrow"/>
                <w:color w:val="000000"/>
              </w:rPr>
              <w:t>Technical Representative Services/Furniture</w:t>
            </w:r>
          </w:p>
        </w:tc>
        <w:tc>
          <w:tcPr>
            <w:tcW w:w="2406" w:type="dxa"/>
          </w:tcPr>
          <w:p w:rsidR="00645987" w:rsidRDefault="00406632" w:rsidP="00360309">
            <w:pPr>
              <w:pStyle w:val="NoSpacing"/>
              <w:jc w:val="both"/>
              <w:rPr>
                <w:rFonts w:ascii="Arial Narrow" w:hAnsi="Arial Narrow"/>
                <w:sz w:val="24"/>
                <w:szCs w:val="24"/>
              </w:rPr>
            </w:pPr>
            <w:r>
              <w:rPr>
                <w:rFonts w:ascii="Arial Narrow" w:hAnsi="Arial Narrow"/>
                <w:sz w:val="24"/>
                <w:szCs w:val="24"/>
              </w:rPr>
              <w:t>$141,428</w:t>
            </w:r>
          </w:p>
        </w:tc>
      </w:tr>
      <w:tr w:rsidR="00645987" w:rsidTr="00645987">
        <w:tc>
          <w:tcPr>
            <w:tcW w:w="1270" w:type="dxa"/>
          </w:tcPr>
          <w:p w:rsidR="00645987" w:rsidRPr="00406632" w:rsidRDefault="00406632" w:rsidP="00360309">
            <w:pPr>
              <w:pStyle w:val="NoSpacing"/>
              <w:jc w:val="both"/>
              <w:rPr>
                <w:rFonts w:ascii="Arial Narrow" w:hAnsi="Arial Narrow"/>
              </w:rPr>
            </w:pPr>
            <w:r w:rsidRPr="00406632">
              <w:rPr>
                <w:rFonts w:ascii="Arial Narrow" w:hAnsi="Arial Narrow"/>
              </w:rPr>
              <w:t>N071</w:t>
            </w:r>
          </w:p>
        </w:tc>
        <w:tc>
          <w:tcPr>
            <w:tcW w:w="5540" w:type="dxa"/>
          </w:tcPr>
          <w:p w:rsidR="00645987" w:rsidRPr="00406632" w:rsidRDefault="00406632" w:rsidP="00360309">
            <w:pPr>
              <w:pStyle w:val="NoSpacing"/>
              <w:jc w:val="both"/>
              <w:rPr>
                <w:rFonts w:ascii="Arial Narrow" w:hAnsi="Arial Narrow"/>
              </w:rPr>
            </w:pPr>
            <w:r w:rsidRPr="00406632">
              <w:rPr>
                <w:rFonts w:ascii="Arial Narrow" w:hAnsi="Arial Narrow"/>
              </w:rPr>
              <w:t>Installation of Furniture</w:t>
            </w:r>
          </w:p>
        </w:tc>
        <w:tc>
          <w:tcPr>
            <w:tcW w:w="2406" w:type="dxa"/>
          </w:tcPr>
          <w:p w:rsidR="00645987" w:rsidRDefault="00406632" w:rsidP="00360309">
            <w:pPr>
              <w:pStyle w:val="NoSpacing"/>
              <w:jc w:val="both"/>
              <w:rPr>
                <w:rFonts w:ascii="Arial Narrow" w:hAnsi="Arial Narrow"/>
                <w:sz w:val="24"/>
                <w:szCs w:val="24"/>
              </w:rPr>
            </w:pPr>
            <w:r>
              <w:rPr>
                <w:rFonts w:ascii="Arial Narrow" w:hAnsi="Arial Narrow"/>
                <w:sz w:val="24"/>
                <w:szCs w:val="24"/>
              </w:rPr>
              <w:t>$1,000,675</w:t>
            </w:r>
          </w:p>
        </w:tc>
      </w:tr>
      <w:tr w:rsidR="00645987" w:rsidTr="00645987">
        <w:tc>
          <w:tcPr>
            <w:tcW w:w="1270" w:type="dxa"/>
          </w:tcPr>
          <w:p w:rsidR="00645987" w:rsidRPr="00406632" w:rsidRDefault="00406632" w:rsidP="00360309">
            <w:pPr>
              <w:pStyle w:val="NoSpacing"/>
              <w:jc w:val="both"/>
              <w:rPr>
                <w:rFonts w:ascii="Arial Narrow" w:hAnsi="Arial Narrow"/>
              </w:rPr>
            </w:pPr>
            <w:r w:rsidRPr="00406632">
              <w:rPr>
                <w:rFonts w:ascii="Arial Narrow" w:hAnsi="Arial Narrow"/>
              </w:rPr>
              <w:t>R706</w:t>
            </w:r>
          </w:p>
        </w:tc>
        <w:tc>
          <w:tcPr>
            <w:tcW w:w="5540" w:type="dxa"/>
          </w:tcPr>
          <w:p w:rsidR="00645987" w:rsidRPr="00406632" w:rsidRDefault="00406632" w:rsidP="00360309">
            <w:pPr>
              <w:pStyle w:val="NoSpacing"/>
              <w:jc w:val="both"/>
              <w:rPr>
                <w:rFonts w:ascii="Arial Narrow" w:hAnsi="Arial Narrow"/>
              </w:rPr>
            </w:pPr>
            <w:r w:rsidRPr="00406632">
              <w:rPr>
                <w:rFonts w:ascii="Arial Narrow" w:hAnsi="Arial Narrow"/>
              </w:rPr>
              <w:t>Logistics Support Services</w:t>
            </w:r>
          </w:p>
        </w:tc>
        <w:tc>
          <w:tcPr>
            <w:tcW w:w="2406" w:type="dxa"/>
          </w:tcPr>
          <w:p w:rsidR="00645987" w:rsidRDefault="00406632" w:rsidP="00360309">
            <w:pPr>
              <w:pStyle w:val="NoSpacing"/>
              <w:jc w:val="both"/>
              <w:rPr>
                <w:rFonts w:ascii="Arial Narrow" w:hAnsi="Arial Narrow"/>
                <w:sz w:val="24"/>
                <w:szCs w:val="24"/>
              </w:rPr>
            </w:pPr>
            <w:r>
              <w:rPr>
                <w:rFonts w:ascii="Arial Narrow" w:hAnsi="Arial Narrow"/>
                <w:sz w:val="24"/>
                <w:szCs w:val="24"/>
              </w:rPr>
              <w:t>$357,246</w:t>
            </w:r>
          </w:p>
        </w:tc>
      </w:tr>
      <w:tr w:rsidR="00406632" w:rsidTr="00645987">
        <w:tc>
          <w:tcPr>
            <w:tcW w:w="1270" w:type="dxa"/>
          </w:tcPr>
          <w:p w:rsidR="00406632" w:rsidRDefault="00406632" w:rsidP="00360309">
            <w:pPr>
              <w:pStyle w:val="NoSpacing"/>
              <w:jc w:val="both"/>
              <w:rPr>
                <w:rFonts w:ascii="Arial Narrow" w:hAnsi="Arial Narrow"/>
                <w:sz w:val="24"/>
                <w:szCs w:val="24"/>
              </w:rPr>
            </w:pPr>
          </w:p>
        </w:tc>
        <w:tc>
          <w:tcPr>
            <w:tcW w:w="5540" w:type="dxa"/>
          </w:tcPr>
          <w:p w:rsidR="00406632" w:rsidRPr="00406632" w:rsidRDefault="00406632" w:rsidP="00360309">
            <w:pPr>
              <w:pStyle w:val="NoSpacing"/>
              <w:jc w:val="both"/>
              <w:rPr>
                <w:rFonts w:ascii="Arial Narrow" w:hAnsi="Arial Narrow"/>
                <w:b/>
                <w:sz w:val="24"/>
                <w:szCs w:val="24"/>
              </w:rPr>
            </w:pPr>
            <w:r>
              <w:rPr>
                <w:rFonts w:ascii="Arial Narrow" w:hAnsi="Arial Narrow"/>
                <w:sz w:val="24"/>
                <w:szCs w:val="24"/>
              </w:rPr>
              <w:t xml:space="preserve">                                                              </w:t>
            </w:r>
            <w:r w:rsidRPr="00406632">
              <w:rPr>
                <w:rFonts w:ascii="Arial Narrow" w:hAnsi="Arial Narrow"/>
                <w:b/>
                <w:sz w:val="24"/>
                <w:szCs w:val="24"/>
              </w:rPr>
              <w:t>Total Obligations:</w:t>
            </w:r>
          </w:p>
        </w:tc>
        <w:tc>
          <w:tcPr>
            <w:tcW w:w="2406" w:type="dxa"/>
          </w:tcPr>
          <w:p w:rsidR="00406632" w:rsidRPr="00406632" w:rsidRDefault="00406632" w:rsidP="00360309">
            <w:pPr>
              <w:pStyle w:val="NoSpacing"/>
              <w:jc w:val="both"/>
              <w:rPr>
                <w:rFonts w:ascii="Arial Narrow" w:hAnsi="Arial Narrow"/>
                <w:b/>
                <w:sz w:val="24"/>
                <w:szCs w:val="24"/>
              </w:rPr>
            </w:pPr>
            <w:r>
              <w:rPr>
                <w:rFonts w:ascii="Arial Narrow" w:hAnsi="Arial Narrow"/>
                <w:b/>
                <w:sz w:val="24"/>
                <w:szCs w:val="24"/>
              </w:rPr>
              <w:t>$</w:t>
            </w:r>
            <w:r w:rsidRPr="00406632">
              <w:rPr>
                <w:rFonts w:ascii="Arial Narrow" w:hAnsi="Arial Narrow"/>
                <w:b/>
                <w:sz w:val="24"/>
                <w:szCs w:val="24"/>
              </w:rPr>
              <w:t>1,877,693</w:t>
            </w:r>
          </w:p>
        </w:tc>
      </w:tr>
    </w:tbl>
    <w:p w:rsidR="00645987" w:rsidRPr="00ED12EB" w:rsidRDefault="00645987" w:rsidP="00360309">
      <w:pPr>
        <w:pStyle w:val="NoSpacing"/>
        <w:ind w:left="360"/>
        <w:jc w:val="both"/>
        <w:rPr>
          <w:rFonts w:ascii="Arial Narrow" w:hAnsi="Arial Narrow"/>
          <w:sz w:val="24"/>
          <w:szCs w:val="24"/>
        </w:rPr>
      </w:pPr>
    </w:p>
    <w:p w:rsidR="00ED12EB" w:rsidRDefault="00ED12EB" w:rsidP="00A74B56">
      <w:pPr>
        <w:ind w:left="360"/>
        <w:jc w:val="both"/>
        <w:rPr>
          <w:rFonts w:ascii="Arial Narrow" w:hAnsi="Arial Narrow"/>
          <w:sz w:val="24"/>
          <w:szCs w:val="24"/>
        </w:rPr>
      </w:pPr>
    </w:p>
    <w:p w:rsidR="0064322D" w:rsidRDefault="0064322D" w:rsidP="0064322D">
      <w:pPr>
        <w:pStyle w:val="NoSpacing"/>
        <w:jc w:val="both"/>
        <w:rPr>
          <w:rFonts w:ascii="Arial" w:hAnsi="Arial" w:cs="Arial"/>
          <w:b/>
        </w:rPr>
      </w:pPr>
      <w:r>
        <w:rPr>
          <w:rFonts w:ascii="Arial" w:hAnsi="Arial" w:cs="Arial"/>
          <w:b/>
        </w:rPr>
        <w:t xml:space="preserve">      </w:t>
      </w:r>
      <w:r w:rsidRPr="00C6481C">
        <w:rPr>
          <w:rFonts w:ascii="Arial" w:hAnsi="Arial" w:cs="Arial"/>
          <w:b/>
        </w:rPr>
        <w:t>Responsible Officials</w:t>
      </w:r>
    </w:p>
    <w:tbl>
      <w:tblPr>
        <w:tblStyle w:val="TableGrid"/>
        <w:tblW w:w="0" w:type="auto"/>
        <w:tblInd w:w="378" w:type="dxa"/>
        <w:tblLook w:val="04A0" w:firstRow="1" w:lastRow="0" w:firstColumn="1" w:lastColumn="0" w:noHBand="0" w:noVBand="1"/>
      </w:tblPr>
      <w:tblGrid>
        <w:gridCol w:w="4410"/>
        <w:gridCol w:w="4788"/>
      </w:tblGrid>
      <w:tr w:rsidR="0064322D" w:rsidTr="0064322D">
        <w:tc>
          <w:tcPr>
            <w:tcW w:w="4410" w:type="dxa"/>
          </w:tcPr>
          <w:p w:rsidR="0064322D" w:rsidRPr="00A669CE" w:rsidRDefault="0064322D" w:rsidP="003D376F">
            <w:pPr>
              <w:pStyle w:val="NoSpacing"/>
              <w:rPr>
                <w:rFonts w:ascii="Arial" w:hAnsi="Arial" w:cs="Arial"/>
                <w:sz w:val="20"/>
                <w:szCs w:val="20"/>
              </w:rPr>
            </w:pPr>
            <w:r>
              <w:rPr>
                <w:rFonts w:ascii="Arial" w:hAnsi="Arial" w:cs="Arial"/>
                <w:sz w:val="20"/>
                <w:szCs w:val="20"/>
              </w:rPr>
              <w:t>Official responsible for the development of agency policies, procedures and associated training.</w:t>
            </w:r>
          </w:p>
        </w:tc>
        <w:tc>
          <w:tcPr>
            <w:tcW w:w="4788" w:type="dxa"/>
          </w:tcPr>
          <w:p w:rsidR="0064322D" w:rsidRPr="00C6481C" w:rsidRDefault="0064322D" w:rsidP="003D376F">
            <w:pPr>
              <w:pStyle w:val="NoSpacing"/>
              <w:rPr>
                <w:rFonts w:ascii="Arial" w:hAnsi="Arial" w:cs="Arial"/>
                <w:sz w:val="20"/>
                <w:szCs w:val="20"/>
              </w:rPr>
            </w:pPr>
            <w:r w:rsidRPr="00C6481C">
              <w:rPr>
                <w:rFonts w:ascii="Arial" w:hAnsi="Arial" w:cs="Arial"/>
                <w:sz w:val="20"/>
                <w:szCs w:val="20"/>
              </w:rPr>
              <w:t>Cynthia Washington</w:t>
            </w:r>
          </w:p>
          <w:p w:rsidR="0064322D" w:rsidRPr="00C6481C" w:rsidRDefault="0064322D" w:rsidP="003D376F">
            <w:pPr>
              <w:pStyle w:val="NoSpacing"/>
              <w:rPr>
                <w:rFonts w:ascii="Arial" w:hAnsi="Arial" w:cs="Arial"/>
                <w:sz w:val="20"/>
                <w:szCs w:val="20"/>
              </w:rPr>
            </w:pPr>
            <w:r w:rsidRPr="00C6481C">
              <w:rPr>
                <w:rFonts w:ascii="Arial" w:hAnsi="Arial" w:cs="Arial"/>
                <w:bCs/>
                <w:iCs/>
                <w:sz w:val="20"/>
                <w:szCs w:val="20"/>
              </w:rPr>
              <w:t>Head of Contracting Activity (HCA)</w:t>
            </w:r>
          </w:p>
          <w:p w:rsidR="0064322D" w:rsidRPr="00C6481C" w:rsidRDefault="00BC4238" w:rsidP="003D376F">
            <w:pPr>
              <w:pStyle w:val="NoSpacing"/>
              <w:rPr>
                <w:rFonts w:ascii="Arial" w:hAnsi="Arial" w:cs="Arial"/>
                <w:sz w:val="20"/>
                <w:szCs w:val="20"/>
              </w:rPr>
            </w:pPr>
            <w:r>
              <w:rPr>
                <w:rFonts w:ascii="Arial" w:hAnsi="Arial" w:cs="Arial"/>
                <w:bCs/>
                <w:iCs/>
                <w:sz w:val="20"/>
                <w:szCs w:val="20"/>
              </w:rPr>
              <w:t>Director</w:t>
            </w:r>
            <w:r w:rsidR="0064322D" w:rsidRPr="00C6481C">
              <w:rPr>
                <w:rFonts w:ascii="Arial" w:hAnsi="Arial" w:cs="Arial"/>
                <w:bCs/>
                <w:iCs/>
                <w:sz w:val="20"/>
                <w:szCs w:val="20"/>
              </w:rPr>
              <w:t xml:space="preserve">, </w:t>
            </w:r>
            <w:r>
              <w:rPr>
                <w:rFonts w:ascii="Arial" w:hAnsi="Arial" w:cs="Arial"/>
                <w:bCs/>
                <w:iCs/>
                <w:sz w:val="20"/>
                <w:szCs w:val="20"/>
              </w:rPr>
              <w:t>Procurement and Operational Support</w:t>
            </w:r>
          </w:p>
          <w:p w:rsidR="0064322D" w:rsidRDefault="0064322D" w:rsidP="003D376F">
            <w:pPr>
              <w:pStyle w:val="NoSpacing"/>
              <w:jc w:val="both"/>
              <w:rPr>
                <w:rFonts w:ascii="Arial" w:hAnsi="Arial" w:cs="Arial"/>
                <w:b/>
              </w:rPr>
            </w:pPr>
          </w:p>
        </w:tc>
      </w:tr>
      <w:tr w:rsidR="0064322D" w:rsidTr="0064322D">
        <w:tc>
          <w:tcPr>
            <w:tcW w:w="4410" w:type="dxa"/>
          </w:tcPr>
          <w:p w:rsidR="0064322D" w:rsidRPr="00C6481C" w:rsidRDefault="0064322D" w:rsidP="003D376F">
            <w:pPr>
              <w:pStyle w:val="NoSpacing"/>
              <w:rPr>
                <w:rFonts w:ascii="Arial" w:hAnsi="Arial" w:cs="Arial"/>
                <w:sz w:val="20"/>
                <w:szCs w:val="20"/>
              </w:rPr>
            </w:pPr>
            <w:r>
              <w:rPr>
                <w:rFonts w:ascii="Arial" w:hAnsi="Arial" w:cs="Arial"/>
                <w:sz w:val="20"/>
                <w:szCs w:val="20"/>
              </w:rPr>
              <w:t>Official responsible for ensuring appropriate internal management of service contract inventories.</w:t>
            </w:r>
          </w:p>
        </w:tc>
        <w:tc>
          <w:tcPr>
            <w:tcW w:w="4788" w:type="dxa"/>
          </w:tcPr>
          <w:p w:rsidR="0064322D" w:rsidRPr="00C6481C" w:rsidRDefault="0064322D" w:rsidP="003D376F">
            <w:pPr>
              <w:pStyle w:val="NoSpacing"/>
              <w:rPr>
                <w:rFonts w:ascii="Arial" w:hAnsi="Arial" w:cs="Arial"/>
                <w:sz w:val="20"/>
                <w:szCs w:val="20"/>
              </w:rPr>
            </w:pPr>
            <w:r w:rsidRPr="00C6481C">
              <w:rPr>
                <w:rFonts w:ascii="Arial" w:hAnsi="Arial" w:cs="Arial"/>
                <w:sz w:val="20"/>
                <w:szCs w:val="20"/>
              </w:rPr>
              <w:t>Cynthia Washington</w:t>
            </w:r>
          </w:p>
          <w:p w:rsidR="0064322D" w:rsidRPr="00C6481C" w:rsidRDefault="0064322D" w:rsidP="003D376F">
            <w:pPr>
              <w:pStyle w:val="NoSpacing"/>
              <w:rPr>
                <w:rFonts w:ascii="Arial" w:hAnsi="Arial" w:cs="Arial"/>
                <w:sz w:val="20"/>
                <w:szCs w:val="20"/>
              </w:rPr>
            </w:pPr>
            <w:r w:rsidRPr="00C6481C">
              <w:rPr>
                <w:rFonts w:ascii="Arial" w:hAnsi="Arial" w:cs="Arial"/>
                <w:bCs/>
                <w:iCs/>
                <w:sz w:val="20"/>
                <w:szCs w:val="20"/>
              </w:rPr>
              <w:t>Head of Contracting Activity (HCA)</w:t>
            </w:r>
          </w:p>
          <w:p w:rsidR="00BC4238" w:rsidRPr="00C6481C" w:rsidRDefault="00BC4238" w:rsidP="00BC4238">
            <w:pPr>
              <w:pStyle w:val="NoSpacing"/>
              <w:rPr>
                <w:rFonts w:ascii="Arial" w:hAnsi="Arial" w:cs="Arial"/>
                <w:sz w:val="20"/>
                <w:szCs w:val="20"/>
              </w:rPr>
            </w:pPr>
            <w:r>
              <w:rPr>
                <w:rFonts w:ascii="Arial" w:hAnsi="Arial" w:cs="Arial"/>
                <w:bCs/>
                <w:iCs/>
                <w:sz w:val="20"/>
                <w:szCs w:val="20"/>
              </w:rPr>
              <w:t>Director</w:t>
            </w:r>
            <w:r w:rsidRPr="00C6481C">
              <w:rPr>
                <w:rFonts w:ascii="Arial" w:hAnsi="Arial" w:cs="Arial"/>
                <w:bCs/>
                <w:iCs/>
                <w:sz w:val="20"/>
                <w:szCs w:val="20"/>
              </w:rPr>
              <w:t xml:space="preserve">, </w:t>
            </w:r>
            <w:r>
              <w:rPr>
                <w:rFonts w:ascii="Arial" w:hAnsi="Arial" w:cs="Arial"/>
                <w:bCs/>
                <w:iCs/>
                <w:sz w:val="20"/>
                <w:szCs w:val="20"/>
              </w:rPr>
              <w:t>Procurement and Operational Support</w:t>
            </w:r>
          </w:p>
          <w:p w:rsidR="0064322D" w:rsidRDefault="0064322D" w:rsidP="003D376F">
            <w:pPr>
              <w:pStyle w:val="NoSpacing"/>
              <w:jc w:val="both"/>
              <w:rPr>
                <w:rFonts w:ascii="Arial" w:hAnsi="Arial" w:cs="Arial"/>
                <w:b/>
              </w:rPr>
            </w:pPr>
          </w:p>
        </w:tc>
      </w:tr>
    </w:tbl>
    <w:p w:rsidR="0064322D" w:rsidRPr="009460BE" w:rsidRDefault="0064322D" w:rsidP="00A74B56">
      <w:pPr>
        <w:ind w:left="360"/>
        <w:jc w:val="both"/>
        <w:rPr>
          <w:rFonts w:ascii="Arial Narrow" w:hAnsi="Arial Narrow"/>
          <w:sz w:val="24"/>
          <w:szCs w:val="24"/>
        </w:rPr>
      </w:pPr>
    </w:p>
    <w:p w:rsidR="00645987" w:rsidRPr="0052670E" w:rsidRDefault="0052670E" w:rsidP="00A74B56">
      <w:pPr>
        <w:ind w:left="360"/>
        <w:jc w:val="both"/>
        <w:rPr>
          <w:rFonts w:ascii="Arial" w:hAnsi="Arial" w:cs="Arial"/>
          <w:i/>
          <w:sz w:val="20"/>
          <w:szCs w:val="20"/>
        </w:rPr>
      </w:pPr>
      <w:r w:rsidRPr="0052670E">
        <w:rPr>
          <w:rFonts w:ascii="Arial" w:hAnsi="Arial" w:cs="Arial"/>
          <w:i/>
          <w:sz w:val="20"/>
          <w:szCs w:val="20"/>
        </w:rPr>
        <w:t>For government-wide inventory analysis see</w:t>
      </w:r>
      <w:r w:rsidR="0088012C">
        <w:rPr>
          <w:rFonts w:ascii="Arial" w:hAnsi="Arial" w:cs="Arial"/>
          <w:i/>
          <w:sz w:val="20"/>
          <w:szCs w:val="20"/>
        </w:rPr>
        <w:t>:</w:t>
      </w:r>
      <w:r w:rsidRPr="0052670E">
        <w:rPr>
          <w:rFonts w:ascii="Arial" w:hAnsi="Arial" w:cs="Arial"/>
          <w:i/>
          <w:sz w:val="20"/>
          <w:szCs w:val="20"/>
        </w:rPr>
        <w:t xml:space="preserve"> </w:t>
      </w:r>
      <w:hyperlink r:id="rId10" w:history="1">
        <w:r w:rsidRPr="0052670E">
          <w:rPr>
            <w:rStyle w:val="Hyperlink"/>
            <w:rFonts w:ascii="Arial" w:hAnsi="Arial" w:cs="Arial"/>
            <w:i/>
            <w:sz w:val="20"/>
            <w:szCs w:val="20"/>
          </w:rPr>
          <w:t>https://www.acquisition.gov/</w:t>
        </w:r>
      </w:hyperlink>
      <w:r w:rsidRPr="0052670E">
        <w:rPr>
          <w:rFonts w:ascii="Arial" w:hAnsi="Arial" w:cs="Arial"/>
          <w:i/>
          <w:sz w:val="20"/>
          <w:szCs w:val="20"/>
        </w:rPr>
        <w:tab/>
      </w:r>
    </w:p>
    <w:p w:rsidR="00ED12EB" w:rsidRDefault="00ED12EB" w:rsidP="00A74B56">
      <w:pPr>
        <w:ind w:left="360"/>
        <w:jc w:val="both"/>
        <w:rPr>
          <w:rFonts w:ascii="Verdana" w:hAnsi="Verdana"/>
        </w:rPr>
      </w:pPr>
    </w:p>
    <w:p w:rsidR="00ED12EB" w:rsidRPr="00ED12EB" w:rsidRDefault="00ED12EB" w:rsidP="00A74B56">
      <w:pPr>
        <w:ind w:left="360"/>
        <w:jc w:val="both"/>
        <w:rPr>
          <w:rFonts w:ascii="Verdana" w:hAnsi="Verdana"/>
        </w:rPr>
      </w:pPr>
    </w:p>
    <w:p w:rsidR="00A74B56" w:rsidRDefault="00A74B56">
      <w:bookmarkStart w:id="0" w:name="_GoBack"/>
      <w:bookmarkEnd w:id="0"/>
    </w:p>
    <w:sectPr w:rsidR="00A74B5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FC" w:rsidRDefault="00BD29FC" w:rsidP="00BD29FC">
      <w:pPr>
        <w:spacing w:after="0" w:line="240" w:lineRule="auto"/>
      </w:pPr>
      <w:r>
        <w:separator/>
      </w:r>
    </w:p>
  </w:endnote>
  <w:endnote w:type="continuationSeparator" w:id="0">
    <w:p w:rsidR="00BD29FC" w:rsidRDefault="00BD29FC" w:rsidP="00BD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566686"/>
      <w:docPartObj>
        <w:docPartGallery w:val="Page Numbers (Bottom of Page)"/>
        <w:docPartUnique/>
      </w:docPartObj>
    </w:sdtPr>
    <w:sdtEndPr>
      <w:rPr>
        <w:noProof/>
      </w:rPr>
    </w:sdtEndPr>
    <w:sdtContent>
      <w:p w:rsidR="00BD29FC" w:rsidRDefault="00BD29FC">
        <w:pPr>
          <w:pStyle w:val="Footer"/>
          <w:jc w:val="right"/>
        </w:pPr>
        <w:r>
          <w:fldChar w:fldCharType="begin"/>
        </w:r>
        <w:r>
          <w:instrText xml:space="preserve"> PAGE   \* MERGEFORMAT </w:instrText>
        </w:r>
        <w:r>
          <w:fldChar w:fldCharType="separate"/>
        </w:r>
        <w:r w:rsidR="0088012C">
          <w:rPr>
            <w:noProof/>
          </w:rPr>
          <w:t>2</w:t>
        </w:r>
        <w:r>
          <w:rPr>
            <w:noProof/>
          </w:rPr>
          <w:fldChar w:fldCharType="end"/>
        </w:r>
      </w:p>
    </w:sdtContent>
  </w:sdt>
  <w:p w:rsidR="00BD29FC" w:rsidRDefault="00BD2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FC" w:rsidRDefault="00BD29FC" w:rsidP="00BD29FC">
      <w:pPr>
        <w:spacing w:after="0" w:line="240" w:lineRule="auto"/>
      </w:pPr>
      <w:r>
        <w:separator/>
      </w:r>
    </w:p>
  </w:footnote>
  <w:footnote w:type="continuationSeparator" w:id="0">
    <w:p w:rsidR="00BD29FC" w:rsidRDefault="00BD29FC" w:rsidP="00BD2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5C2"/>
    <w:multiLevelType w:val="hybridMultilevel"/>
    <w:tmpl w:val="D68AFCBC"/>
    <w:lvl w:ilvl="0" w:tplc="CC72E12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70320C0"/>
    <w:multiLevelType w:val="hybridMultilevel"/>
    <w:tmpl w:val="8E028A80"/>
    <w:lvl w:ilvl="0" w:tplc="CC72E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D4564"/>
    <w:multiLevelType w:val="hybridMultilevel"/>
    <w:tmpl w:val="9A46DF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058E4"/>
    <w:multiLevelType w:val="hybridMultilevel"/>
    <w:tmpl w:val="7F229DE8"/>
    <w:lvl w:ilvl="0" w:tplc="CC72E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40ED3"/>
    <w:multiLevelType w:val="hybridMultilevel"/>
    <w:tmpl w:val="0D908916"/>
    <w:lvl w:ilvl="0" w:tplc="CC72E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B500F"/>
    <w:multiLevelType w:val="hybridMultilevel"/>
    <w:tmpl w:val="640A6A4E"/>
    <w:lvl w:ilvl="0" w:tplc="CC72E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C7835"/>
    <w:multiLevelType w:val="hybridMultilevel"/>
    <w:tmpl w:val="3C4EEE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15440D"/>
    <w:multiLevelType w:val="hybridMultilevel"/>
    <w:tmpl w:val="522CE776"/>
    <w:lvl w:ilvl="0" w:tplc="CC72E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E79D7"/>
    <w:multiLevelType w:val="hybridMultilevel"/>
    <w:tmpl w:val="F306DA98"/>
    <w:lvl w:ilvl="0" w:tplc="CC72E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3"/>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56"/>
    <w:rsid w:val="00021722"/>
    <w:rsid w:val="002566AC"/>
    <w:rsid w:val="00360309"/>
    <w:rsid w:val="00406632"/>
    <w:rsid w:val="00432B5B"/>
    <w:rsid w:val="0052670E"/>
    <w:rsid w:val="00616A11"/>
    <w:rsid w:val="0064322D"/>
    <w:rsid w:val="00645987"/>
    <w:rsid w:val="0082774D"/>
    <w:rsid w:val="0084544F"/>
    <w:rsid w:val="0088012C"/>
    <w:rsid w:val="009460BE"/>
    <w:rsid w:val="00963A8B"/>
    <w:rsid w:val="00A74B56"/>
    <w:rsid w:val="00B045ED"/>
    <w:rsid w:val="00BC4238"/>
    <w:rsid w:val="00BD29FC"/>
    <w:rsid w:val="00DA38A4"/>
    <w:rsid w:val="00ED12EB"/>
    <w:rsid w:val="00EF69DA"/>
    <w:rsid w:val="00FB3271"/>
    <w:rsid w:val="00FD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B56"/>
    <w:pPr>
      <w:ind w:left="720"/>
      <w:contextualSpacing/>
    </w:pPr>
  </w:style>
  <w:style w:type="paragraph" w:styleId="NoSpacing">
    <w:name w:val="No Spacing"/>
    <w:uiPriority w:val="1"/>
    <w:qFormat/>
    <w:rsid w:val="00ED12EB"/>
    <w:pPr>
      <w:spacing w:after="0" w:line="240" w:lineRule="auto"/>
    </w:pPr>
  </w:style>
  <w:style w:type="paragraph" w:styleId="BalloonText">
    <w:name w:val="Balloon Text"/>
    <w:basedOn w:val="Normal"/>
    <w:link w:val="BalloonTextChar"/>
    <w:uiPriority w:val="99"/>
    <w:semiHidden/>
    <w:unhideWhenUsed/>
    <w:rsid w:val="00645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87"/>
    <w:rPr>
      <w:rFonts w:ascii="Tahoma" w:hAnsi="Tahoma" w:cs="Tahoma"/>
      <w:sz w:val="16"/>
      <w:szCs w:val="16"/>
    </w:rPr>
  </w:style>
  <w:style w:type="table" w:styleId="TableGrid">
    <w:name w:val="Table Grid"/>
    <w:basedOn w:val="TableNormal"/>
    <w:uiPriority w:val="59"/>
    <w:rsid w:val="0064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9FC"/>
  </w:style>
  <w:style w:type="paragraph" w:styleId="Footer">
    <w:name w:val="footer"/>
    <w:basedOn w:val="Normal"/>
    <w:link w:val="FooterChar"/>
    <w:uiPriority w:val="99"/>
    <w:unhideWhenUsed/>
    <w:rsid w:val="00BD2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9FC"/>
  </w:style>
  <w:style w:type="character" w:styleId="Hyperlink">
    <w:name w:val="Hyperlink"/>
    <w:basedOn w:val="DefaultParagraphFont"/>
    <w:uiPriority w:val="99"/>
    <w:unhideWhenUsed/>
    <w:rsid w:val="005267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B56"/>
    <w:pPr>
      <w:ind w:left="720"/>
      <w:contextualSpacing/>
    </w:pPr>
  </w:style>
  <w:style w:type="paragraph" w:styleId="NoSpacing">
    <w:name w:val="No Spacing"/>
    <w:uiPriority w:val="1"/>
    <w:qFormat/>
    <w:rsid w:val="00ED12EB"/>
    <w:pPr>
      <w:spacing w:after="0" w:line="240" w:lineRule="auto"/>
    </w:pPr>
  </w:style>
  <w:style w:type="paragraph" w:styleId="BalloonText">
    <w:name w:val="Balloon Text"/>
    <w:basedOn w:val="Normal"/>
    <w:link w:val="BalloonTextChar"/>
    <w:uiPriority w:val="99"/>
    <w:semiHidden/>
    <w:unhideWhenUsed/>
    <w:rsid w:val="00645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87"/>
    <w:rPr>
      <w:rFonts w:ascii="Tahoma" w:hAnsi="Tahoma" w:cs="Tahoma"/>
      <w:sz w:val="16"/>
      <w:szCs w:val="16"/>
    </w:rPr>
  </w:style>
  <w:style w:type="table" w:styleId="TableGrid">
    <w:name w:val="Table Grid"/>
    <w:basedOn w:val="TableNormal"/>
    <w:uiPriority w:val="59"/>
    <w:rsid w:val="0064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9FC"/>
  </w:style>
  <w:style w:type="paragraph" w:styleId="Footer">
    <w:name w:val="footer"/>
    <w:basedOn w:val="Normal"/>
    <w:link w:val="FooterChar"/>
    <w:uiPriority w:val="99"/>
    <w:unhideWhenUsed/>
    <w:rsid w:val="00BD2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9FC"/>
  </w:style>
  <w:style w:type="character" w:styleId="Hyperlink">
    <w:name w:val="Hyperlink"/>
    <w:basedOn w:val="DefaultParagraphFont"/>
    <w:uiPriority w:val="99"/>
    <w:unhideWhenUsed/>
    <w:rsid w:val="00526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acquisition.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A2129-C641-4062-A8C8-AD8840E7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Gray-Broughton Linda</dc:creator>
  <cp:keywords/>
  <dc:description/>
  <cp:lastModifiedBy>Gray-Broughton Linda</cp:lastModifiedBy>
  <cp:revision>19</cp:revision>
  <cp:lastPrinted>2017-02-10T15:56:00Z</cp:lastPrinted>
  <dcterms:created xsi:type="dcterms:W3CDTF">2017-02-09T15:10:00Z</dcterms:created>
  <dcterms:modified xsi:type="dcterms:W3CDTF">2017-10-23T18:09:00Z</dcterms:modified>
</cp:coreProperties>
</file>